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8B1ED" w14:textId="77777777" w:rsidR="00837FAE" w:rsidRDefault="00837FAE" w:rsidP="00837FAE">
      <w:pPr>
        <w:spacing w:after="120" w:line="276" w:lineRule="auto"/>
        <w:jc w:val="center"/>
        <w:rPr>
          <w:rFonts w:eastAsia="Calibri"/>
        </w:rPr>
      </w:pPr>
      <w:r>
        <w:rPr>
          <w:b/>
          <w:bCs/>
        </w:rPr>
        <w:t>OBRAZLOŽENJE:</w:t>
      </w:r>
    </w:p>
    <w:p w14:paraId="6B2EB679" w14:textId="77777777" w:rsidR="00837FAE" w:rsidRDefault="00837FAE" w:rsidP="00837FAE">
      <w:pPr>
        <w:numPr>
          <w:ilvl w:val="0"/>
          <w:numId w:val="1"/>
        </w:numPr>
        <w:spacing w:after="120" w:line="276" w:lineRule="auto"/>
        <w:jc w:val="both"/>
        <w:rPr>
          <w:b/>
          <w:bCs/>
        </w:rPr>
      </w:pPr>
      <w:r>
        <w:rPr>
          <w:b/>
          <w:bCs/>
        </w:rPr>
        <w:t>Zakonska osnova</w:t>
      </w:r>
    </w:p>
    <w:p w14:paraId="7A1B36F1" w14:textId="77777777" w:rsidR="00837FAE" w:rsidRDefault="00837FAE" w:rsidP="00837FAE">
      <w:pPr>
        <w:spacing w:after="120" w:line="276" w:lineRule="auto"/>
        <w:ind w:firstLine="709"/>
        <w:jc w:val="both"/>
      </w:pPr>
      <w:r>
        <w:t>Temeljem članka 17. stavka 1. Zakona o ublažavanju i uklanjanju posljedica prirodnih nepogoda („Narodne novine“ broj 16/19) - u daljnjem tekstu: „Zakon“, predstavničko tijelo jedinice lokalne samouprave donosi plan djelovanja za sljedeću kalendarsku godinu radi određenja mjera i postupanja djelomične sanacije šteta od prirodnih nepogoda.</w:t>
      </w:r>
    </w:p>
    <w:p w14:paraId="0117A67A" w14:textId="77777777" w:rsidR="00837FAE" w:rsidRDefault="00837FAE" w:rsidP="00837FAE">
      <w:pPr>
        <w:spacing w:after="120" w:line="276" w:lineRule="auto"/>
        <w:ind w:firstLine="709"/>
        <w:jc w:val="both"/>
      </w:pPr>
    </w:p>
    <w:p w14:paraId="035A5198" w14:textId="77777777" w:rsidR="00837FAE" w:rsidRDefault="00837FAE" w:rsidP="00837FAE">
      <w:pPr>
        <w:numPr>
          <w:ilvl w:val="0"/>
          <w:numId w:val="1"/>
        </w:numPr>
        <w:spacing w:line="252" w:lineRule="auto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Ocjena stanja i osnovna pitanja koja se uređuju aktom i objašnjenje pojedinih odredbi</w:t>
      </w:r>
    </w:p>
    <w:p w14:paraId="3AF8DB55" w14:textId="77777777" w:rsidR="00837FAE" w:rsidRDefault="00837FAE" w:rsidP="00837FAE">
      <w:pPr>
        <w:spacing w:after="120" w:line="276" w:lineRule="auto"/>
        <w:jc w:val="both"/>
      </w:pPr>
    </w:p>
    <w:p w14:paraId="78032A2B" w14:textId="77777777" w:rsidR="00837FAE" w:rsidRDefault="00837FAE" w:rsidP="00837FAE">
      <w:pPr>
        <w:spacing w:after="120" w:line="276" w:lineRule="auto"/>
        <w:ind w:firstLine="709"/>
        <w:jc w:val="both"/>
      </w:pPr>
      <w:r>
        <w:t>Odredbom članka 3. Zakona, prirodnom nepogodom smatraju se iznenadne okolnosti uzrokovane nepovoljnim vremenskim prilikama, seizmičkim uzrocima i drugim prirodnim uzrocima koje prekidaju normalno odvijanje života, uzrokuju žrtve, štetu na imovini i/ili njezin gubitak te štetu na javnoj infrastrukturi i/ili u okolišu.</w:t>
      </w:r>
    </w:p>
    <w:p w14:paraId="2C75AFDB" w14:textId="77777777" w:rsidR="00837FAE" w:rsidRDefault="00837FAE" w:rsidP="00837FAE">
      <w:pPr>
        <w:spacing w:after="120" w:line="276" w:lineRule="auto"/>
        <w:ind w:firstLine="709"/>
        <w:jc w:val="both"/>
      </w:pPr>
      <w:r>
        <w:t>Prirodna nepogoda proglašava se ako je vrijednost ukupne izravne štete najmanje 20% vrijednosti izvornih prihoda jedinice lokalne samouprave za prethodnu godinu ili ako je prirod (rod) umanjen najmanje 30% prethodnog trogodišnjeg prosjeka na području jedinice lokalne samouprave ili ako je nepogoda umanjila vrijednost imovine na području jedinice lokalne samouprave najmanje 30%.</w:t>
      </w:r>
    </w:p>
    <w:p w14:paraId="39E81E54" w14:textId="77777777" w:rsidR="00837FAE" w:rsidRDefault="00837FAE" w:rsidP="00837FAE">
      <w:pPr>
        <w:spacing w:after="120" w:line="276" w:lineRule="auto"/>
        <w:ind w:firstLine="709"/>
        <w:jc w:val="both"/>
      </w:pPr>
      <w:r>
        <w:t xml:space="preserve">Ispunjenje uvjeta za proglašenje prirodne nepogode utvrđuje Povjerenstvo za procjenu šteta od prirodnih nepogoda na području Grada Koprivnice.   </w:t>
      </w:r>
    </w:p>
    <w:p w14:paraId="18E05815" w14:textId="77777777" w:rsidR="00837FAE" w:rsidRDefault="00837FAE" w:rsidP="00837FAE">
      <w:pPr>
        <w:spacing w:after="120" w:line="276" w:lineRule="auto"/>
        <w:ind w:firstLine="709"/>
        <w:jc w:val="both"/>
      </w:pPr>
      <w:r>
        <w:t>Gradsko vijeće Grada Koprivnice donosi Plan djelovanja Grada Koprivnice u području prirodnih nepogoda za 2026. godinu radi određenja mjera i postupanja djelomične sanacije šteta od prirodnih nepogoda.</w:t>
      </w:r>
    </w:p>
    <w:p w14:paraId="719FCFC1" w14:textId="77777777" w:rsidR="00837FAE" w:rsidRDefault="00837FAE" w:rsidP="00837FAE">
      <w:pPr>
        <w:spacing w:after="120" w:line="276" w:lineRule="auto"/>
        <w:ind w:firstLine="709"/>
        <w:jc w:val="both"/>
      </w:pPr>
      <w:r>
        <w:t>Točkom I. ove odluke donosi se Plan djelovanja Grada Koprivnice u području prirodnih nepogoda u 2026. godini.</w:t>
      </w:r>
    </w:p>
    <w:p w14:paraId="1AF20CD0" w14:textId="77777777" w:rsidR="00837FAE" w:rsidRDefault="00837FAE" w:rsidP="00837FAE">
      <w:pPr>
        <w:spacing w:after="120" w:line="276" w:lineRule="auto"/>
        <w:ind w:firstLine="709"/>
        <w:jc w:val="both"/>
      </w:pPr>
      <w:r>
        <w:t>Točkom II. ove odluke utvrđeno je da je dokument Plan djelovanja Grada Koprivnice u području prirodnih nepogoda u 2026. godini sastavni dio iste i nalazi se u prilogu kao zasebni dokument.</w:t>
      </w:r>
    </w:p>
    <w:p w14:paraId="52E2380A" w14:textId="77777777" w:rsidR="00837FAE" w:rsidRDefault="00837FAE" w:rsidP="00837FAE">
      <w:pPr>
        <w:ind w:firstLine="720"/>
        <w:jc w:val="both"/>
        <w:rPr>
          <w:color w:val="000000"/>
          <w:spacing w:val="-7"/>
          <w:w w:val="105"/>
        </w:rPr>
      </w:pPr>
      <w:r>
        <w:t xml:space="preserve">Točkom III. </w:t>
      </w:r>
      <w:r>
        <w:rPr>
          <w:color w:val="000000"/>
          <w:spacing w:val="-7"/>
          <w:w w:val="105"/>
        </w:rPr>
        <w:t>ove odluke utvrđeno je stupanje na snagu.</w:t>
      </w:r>
    </w:p>
    <w:p w14:paraId="4B8CC57A" w14:textId="77777777" w:rsidR="00837FAE" w:rsidRDefault="00837FAE" w:rsidP="00837FAE">
      <w:pPr>
        <w:ind w:firstLine="720"/>
        <w:jc w:val="both"/>
        <w:rPr>
          <w:color w:val="000000"/>
          <w:spacing w:val="-7"/>
          <w:w w:val="105"/>
        </w:rPr>
      </w:pPr>
    </w:p>
    <w:p w14:paraId="7280BE19" w14:textId="77777777" w:rsidR="00837FAE" w:rsidRDefault="00837FAE" w:rsidP="00837FAE">
      <w:pPr>
        <w:jc w:val="both"/>
        <w:rPr>
          <w:color w:val="000000"/>
          <w:spacing w:val="-7"/>
          <w:w w:val="105"/>
        </w:rPr>
      </w:pPr>
    </w:p>
    <w:p w14:paraId="5009AAAF" w14:textId="77777777" w:rsidR="00837FAE" w:rsidRDefault="00837FAE" w:rsidP="00837FAE">
      <w:pPr>
        <w:pStyle w:val="Odlomakpopisa"/>
        <w:numPr>
          <w:ilvl w:val="0"/>
          <w:numId w:val="1"/>
        </w:numPr>
        <w:spacing w:after="160" w:line="252" w:lineRule="auto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Potrebna sredstva za provedbu akta</w:t>
      </w:r>
    </w:p>
    <w:p w14:paraId="1DE5E11B" w14:textId="77777777" w:rsidR="00837FAE" w:rsidRDefault="00837FAE" w:rsidP="00837FAE">
      <w:pPr>
        <w:pStyle w:val="Odlomakpopisa"/>
        <w:spacing w:after="160" w:line="252" w:lineRule="auto"/>
        <w:jc w:val="both"/>
        <w:rPr>
          <w:rFonts w:eastAsia="Calibri"/>
          <w:b/>
          <w:bCs/>
          <w:lang w:eastAsia="en-US"/>
        </w:rPr>
      </w:pPr>
    </w:p>
    <w:p w14:paraId="16F98102" w14:textId="77777777" w:rsidR="00837FAE" w:rsidRDefault="00837FAE" w:rsidP="00837FAE">
      <w:pPr>
        <w:spacing w:after="120"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Za provedbu Odluke o donošenju </w:t>
      </w:r>
      <w:r>
        <w:t>Plan djelovanja Grada Koprivnice u području prirodnih nepogoda u 2026. godini</w:t>
      </w:r>
      <w:r>
        <w:rPr>
          <w:rFonts w:eastAsia="Calibri"/>
          <w:lang w:eastAsia="en-US"/>
        </w:rPr>
        <w:t xml:space="preserve"> planirat će se sredstva u Proračunu Grada Koprivnice za 2026. godinu, osim navedenog sredstva za pokrivanje posljedica prirodnih nepogoda osiguravaju se u Državnom proračunu s proračunskog razdjela ministarstva nadležnog za financije, Fondovima Europske unije  i putem donacija.</w:t>
      </w:r>
    </w:p>
    <w:p w14:paraId="7CD6E60A" w14:textId="77777777" w:rsidR="00837FAE" w:rsidRDefault="00837FAE" w:rsidP="00837FAE">
      <w:pPr>
        <w:spacing w:after="120" w:line="276" w:lineRule="auto"/>
        <w:ind w:firstLine="709"/>
        <w:jc w:val="both"/>
      </w:pPr>
      <w:r>
        <w:lastRenderedPageBreak/>
        <w:t>Sukladno svemu navedenom predlaže se Gradskom vijeću Grada Koprivnice donošenje Odluke o donošenju Plana djelovanja Grada Koprivnice u području prirodnih nepogoda za 2026. godinu.</w:t>
      </w:r>
    </w:p>
    <w:p w14:paraId="5B44164D" w14:textId="77777777" w:rsidR="00837FAE" w:rsidRDefault="00837FAE" w:rsidP="00837FAE">
      <w:pPr>
        <w:tabs>
          <w:tab w:val="right" w:pos="7280"/>
        </w:tabs>
        <w:spacing w:before="756"/>
        <w:rPr>
          <w:color w:val="000000"/>
          <w:spacing w:val="-2"/>
        </w:rPr>
      </w:pPr>
      <w:r>
        <w:rPr>
          <w:color w:val="000000"/>
          <w:spacing w:val="-2"/>
        </w:rPr>
        <w:t>Nositelj izrade akta:</w:t>
      </w:r>
      <w:r>
        <w:rPr>
          <w:color w:val="000000"/>
          <w:spacing w:val="-2"/>
        </w:rPr>
        <w:tab/>
      </w:r>
      <w:r>
        <w:rPr>
          <w:color w:val="000000"/>
          <w:spacing w:val="-4"/>
          <w:w w:val="105"/>
        </w:rPr>
        <w:t>Predlagatelj akta:</w:t>
      </w:r>
    </w:p>
    <w:p w14:paraId="5E186DCC" w14:textId="77777777" w:rsidR="00837FAE" w:rsidRDefault="00837FAE" w:rsidP="00837FAE">
      <w:pPr>
        <w:spacing w:before="252"/>
        <w:rPr>
          <w:color w:val="000000"/>
          <w:spacing w:val="2"/>
        </w:rPr>
      </w:pPr>
      <w:r>
        <w:rPr>
          <w:color w:val="000000"/>
          <w:spacing w:val="2"/>
        </w:rPr>
        <w:t>Služba ureda gradonačelnika</w:t>
      </w:r>
    </w:p>
    <w:p w14:paraId="6A39258A" w14:textId="77777777" w:rsidR="00837FAE" w:rsidRDefault="00837FAE" w:rsidP="00837FAE">
      <w:pPr>
        <w:tabs>
          <w:tab w:val="right" w:pos="7712"/>
        </w:tabs>
        <w:spacing w:before="252"/>
        <w:rPr>
          <w:color w:val="000000"/>
        </w:rPr>
      </w:pPr>
      <w:r>
        <w:rPr>
          <w:color w:val="000000"/>
        </w:rPr>
        <w:t>PROČELNIK:</w:t>
      </w:r>
      <w:r>
        <w:rPr>
          <w:color w:val="000000"/>
        </w:rPr>
        <w:tab/>
        <w:t>GRADONAČELNIK:</w:t>
      </w:r>
    </w:p>
    <w:p w14:paraId="2D6217B2" w14:textId="77777777" w:rsidR="00837FAE" w:rsidRDefault="00837FAE" w:rsidP="00837FAE">
      <w:pPr>
        <w:tabs>
          <w:tab w:val="right" w:pos="7766"/>
        </w:tabs>
        <w:spacing w:before="216"/>
        <w:rPr>
          <w:color w:val="000000"/>
          <w:spacing w:val="-10"/>
          <w:w w:val="105"/>
        </w:rPr>
      </w:pPr>
      <w:r>
        <w:rPr>
          <w:color w:val="000000"/>
          <w:spacing w:val="-10"/>
          <w:w w:val="105"/>
        </w:rPr>
        <w:t xml:space="preserve">Dario Jembrek                                                                                   </w:t>
      </w:r>
      <w:r>
        <w:rPr>
          <w:color w:val="000000"/>
          <w:spacing w:val="-4"/>
          <w:w w:val="105"/>
        </w:rPr>
        <w:t>Mišel Jakšić</w:t>
      </w:r>
    </w:p>
    <w:p w14:paraId="2733C51B" w14:textId="77777777" w:rsidR="00837FAE" w:rsidRDefault="00837FAE" w:rsidP="00837FAE">
      <w:pPr>
        <w:spacing w:before="360" w:line="480" w:lineRule="auto"/>
        <w:ind w:left="4968"/>
        <w:jc w:val="center"/>
        <w:rPr>
          <w:color w:val="000000"/>
          <w:spacing w:val="2"/>
        </w:rPr>
      </w:pPr>
    </w:p>
    <w:p w14:paraId="5CBB7B2B" w14:textId="28332535" w:rsidR="00611B44" w:rsidRPr="00837FAE" w:rsidRDefault="00611B44" w:rsidP="00837FAE"/>
    <w:sectPr w:rsidR="00611B44" w:rsidRPr="00837FAE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45173" w14:textId="77777777" w:rsidR="000C06AA" w:rsidRDefault="000C06AA" w:rsidP="008E4B08">
      <w:r>
        <w:separator/>
      </w:r>
    </w:p>
  </w:endnote>
  <w:endnote w:type="continuationSeparator" w:id="0">
    <w:p w14:paraId="3CD03077" w14:textId="77777777" w:rsidR="000C06AA" w:rsidRDefault="000C06AA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99DB5" w14:textId="77777777" w:rsidR="000C06AA" w:rsidRDefault="000C06AA" w:rsidP="008E4B08">
      <w:r>
        <w:separator/>
      </w:r>
    </w:p>
  </w:footnote>
  <w:footnote w:type="continuationSeparator" w:id="0">
    <w:p w14:paraId="52ACA1A2" w14:textId="77777777" w:rsidR="000C06AA" w:rsidRDefault="000C06AA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8E4284"/>
    <w:multiLevelType w:val="hybridMultilevel"/>
    <w:tmpl w:val="D444DEEA"/>
    <w:lvl w:ilvl="0" w:tplc="C6263D02">
      <w:start w:val="1"/>
      <w:numFmt w:val="upperRoman"/>
      <w:lvlText w:val="%1."/>
      <w:lvlJc w:val="right"/>
      <w:pPr>
        <w:ind w:left="720" w:hanging="360"/>
      </w:pPr>
    </w:lvl>
    <w:lvl w:ilvl="1" w:tplc="D25482E6">
      <w:start w:val="1"/>
      <w:numFmt w:val="lowerLetter"/>
      <w:lvlText w:val="%2."/>
      <w:lvlJc w:val="left"/>
      <w:pPr>
        <w:ind w:left="1440" w:hanging="360"/>
      </w:pPr>
    </w:lvl>
    <w:lvl w:ilvl="2" w:tplc="456809AC">
      <w:start w:val="1"/>
      <w:numFmt w:val="lowerRoman"/>
      <w:lvlText w:val="%3."/>
      <w:lvlJc w:val="right"/>
      <w:pPr>
        <w:ind w:left="2160" w:hanging="180"/>
      </w:pPr>
    </w:lvl>
    <w:lvl w:ilvl="3" w:tplc="4DFABF14">
      <w:start w:val="1"/>
      <w:numFmt w:val="decimal"/>
      <w:lvlText w:val="%4."/>
      <w:lvlJc w:val="left"/>
      <w:pPr>
        <w:ind w:left="2880" w:hanging="360"/>
      </w:pPr>
    </w:lvl>
    <w:lvl w:ilvl="4" w:tplc="DAFA4176">
      <w:start w:val="1"/>
      <w:numFmt w:val="lowerLetter"/>
      <w:lvlText w:val="%5."/>
      <w:lvlJc w:val="left"/>
      <w:pPr>
        <w:ind w:left="3600" w:hanging="360"/>
      </w:pPr>
    </w:lvl>
    <w:lvl w:ilvl="5" w:tplc="ACEEBFC0">
      <w:start w:val="1"/>
      <w:numFmt w:val="lowerRoman"/>
      <w:lvlText w:val="%6."/>
      <w:lvlJc w:val="right"/>
      <w:pPr>
        <w:ind w:left="4320" w:hanging="180"/>
      </w:pPr>
    </w:lvl>
    <w:lvl w:ilvl="6" w:tplc="DC240848">
      <w:start w:val="1"/>
      <w:numFmt w:val="decimal"/>
      <w:lvlText w:val="%7."/>
      <w:lvlJc w:val="left"/>
      <w:pPr>
        <w:ind w:left="5040" w:hanging="360"/>
      </w:pPr>
    </w:lvl>
    <w:lvl w:ilvl="7" w:tplc="F56E08E6">
      <w:start w:val="1"/>
      <w:numFmt w:val="lowerLetter"/>
      <w:lvlText w:val="%8."/>
      <w:lvlJc w:val="left"/>
      <w:pPr>
        <w:ind w:left="5760" w:hanging="360"/>
      </w:pPr>
    </w:lvl>
    <w:lvl w:ilvl="8" w:tplc="C7CEDAA8">
      <w:start w:val="1"/>
      <w:numFmt w:val="lowerRoman"/>
      <w:lvlText w:val="%9."/>
      <w:lvlJc w:val="right"/>
      <w:pPr>
        <w:ind w:left="6480" w:hanging="180"/>
      </w:pPr>
    </w:lvl>
  </w:abstractNum>
  <w:num w:numId="1" w16cid:durableId="6186857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06AA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9000A"/>
    <w:rsid w:val="004C64C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37FAE"/>
    <w:rsid w:val="00856A74"/>
    <w:rsid w:val="00857B8E"/>
    <w:rsid w:val="00862CC1"/>
    <w:rsid w:val="00876372"/>
    <w:rsid w:val="008770A6"/>
    <w:rsid w:val="008E4B08"/>
    <w:rsid w:val="0090739C"/>
    <w:rsid w:val="00987945"/>
    <w:rsid w:val="009B6D94"/>
    <w:rsid w:val="009D4CD1"/>
    <w:rsid w:val="009F199D"/>
    <w:rsid w:val="00A1543D"/>
    <w:rsid w:val="00A21CB0"/>
    <w:rsid w:val="00A32554"/>
    <w:rsid w:val="00A41FE7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3513E"/>
    <w:rsid w:val="00C64046"/>
    <w:rsid w:val="00C82211"/>
    <w:rsid w:val="00C8267C"/>
    <w:rsid w:val="00CC2AB8"/>
    <w:rsid w:val="00CD7D6A"/>
    <w:rsid w:val="00D012D4"/>
    <w:rsid w:val="00D07BAC"/>
    <w:rsid w:val="00D207E9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837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3</cp:revision>
  <cp:lastPrinted>2025-10-08T10:14:00Z</cp:lastPrinted>
  <dcterms:created xsi:type="dcterms:W3CDTF">2025-10-08T10:03:00Z</dcterms:created>
  <dcterms:modified xsi:type="dcterms:W3CDTF">2025-10-08T10:14:00Z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